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A0F6" w14:textId="77777777" w:rsidR="00CC29AC" w:rsidRDefault="004A6455" w:rsidP="004A6455">
      <w:pPr>
        <w:jc w:val="center"/>
      </w:pPr>
      <w:r w:rsidRPr="004A6455">
        <w:rPr>
          <w:noProof/>
        </w:rPr>
        <w:drawing>
          <wp:inline distT="0" distB="0" distL="0" distR="0" wp14:anchorId="47430381" wp14:editId="70EA3F1B">
            <wp:extent cx="6858000" cy="596981"/>
            <wp:effectExtent l="0" t="0" r="0" b="0"/>
            <wp:docPr id="1" name="Picture 1" descr="C:\Users\gohnc\AppData\Local\Microsoft\Windows\Temporary Internet Files\Content.Outlook\GOQ0WDEN\eTRACSEmailHeader2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hnc\AppData\Local\Microsoft\Windows\Temporary Internet Files\Content.Outlook\GOQ0WDEN\eTRACSEmailHeader2 (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FC633" w14:textId="0D62D035" w:rsidR="002720D3" w:rsidRDefault="00323F84" w:rsidP="004A6455">
      <w:r>
        <w:rPr>
          <w:b/>
          <w:sz w:val="28"/>
        </w:rPr>
        <w:t>Adding New Periods vs. New Modifications Cheat Sheet</w:t>
      </w:r>
    </w:p>
    <w:p w14:paraId="6F1B02D5" w14:textId="704068FB" w:rsidR="006534A7" w:rsidRDefault="004A6455" w:rsidP="007C15FC">
      <w:pPr>
        <w:rPr>
          <w:sz w:val="20"/>
          <w:szCs w:val="20"/>
        </w:rPr>
      </w:pPr>
      <w:r w:rsidRPr="00E435AB">
        <w:rPr>
          <w:sz w:val="20"/>
          <w:szCs w:val="20"/>
        </w:rPr>
        <w:t xml:space="preserve">Updated </w:t>
      </w:r>
      <w:r w:rsidR="00E435AB" w:rsidRPr="00E435AB">
        <w:rPr>
          <w:sz w:val="20"/>
          <w:szCs w:val="20"/>
        </w:rPr>
        <w:t>3.10</w:t>
      </w:r>
      <w:r w:rsidR="00EE14FD" w:rsidRPr="00E435AB">
        <w:rPr>
          <w:sz w:val="20"/>
          <w:szCs w:val="20"/>
        </w:rPr>
        <w:t>.</w:t>
      </w:r>
      <w:r w:rsidR="00E435AB" w:rsidRPr="00E435AB">
        <w:rPr>
          <w:sz w:val="20"/>
          <w:szCs w:val="20"/>
        </w:rPr>
        <w:t>20</w:t>
      </w:r>
    </w:p>
    <w:p w14:paraId="72085067" w14:textId="77777777" w:rsidR="00E435AB" w:rsidRPr="00E435AB" w:rsidRDefault="00E435AB" w:rsidP="007C15FC">
      <w:pPr>
        <w:rPr>
          <w:sz w:val="14"/>
          <w:szCs w:val="14"/>
        </w:rPr>
      </w:pPr>
    </w:p>
    <w:p w14:paraId="7DBD6575" w14:textId="16D45D66" w:rsidR="00E435AB" w:rsidRDefault="00C75EF2" w:rsidP="00E435AB">
      <w:pPr>
        <w:spacing w:after="0" w:line="240" w:lineRule="auto"/>
      </w:pPr>
      <w:r w:rsidRPr="00CE711D">
        <w:rPr>
          <w:b/>
        </w:rPr>
        <w:t>New Periods</w:t>
      </w:r>
      <w:r>
        <w:t xml:space="preserve"> – </w:t>
      </w:r>
      <w:r w:rsidR="00E435AB">
        <w:t xml:space="preserve">Used when the start date of the next award action is following the end date of the previous award. </w:t>
      </w:r>
    </w:p>
    <w:p w14:paraId="35DD803C" w14:textId="02BFEC33" w:rsidR="00E435AB" w:rsidRDefault="00E435AB" w:rsidP="00E435AB">
      <w:pPr>
        <w:spacing w:after="0" w:line="240" w:lineRule="auto"/>
      </w:pPr>
      <w:r>
        <w:t>“New period” is appropriate for a new funding increment for a subsequent year of funding.</w:t>
      </w:r>
    </w:p>
    <w:p w14:paraId="61C94DF0" w14:textId="77777777" w:rsidR="00E435AB" w:rsidRDefault="00E435AB" w:rsidP="00E435AB">
      <w:pPr>
        <w:spacing w:after="0" w:line="240" w:lineRule="auto"/>
      </w:pPr>
    </w:p>
    <w:p w14:paraId="5AF9A798" w14:textId="5B6729D0" w:rsidR="00C75EF2" w:rsidRDefault="00C75EF2" w:rsidP="007C15FC">
      <w:r w:rsidRPr="00CE711D">
        <w:rPr>
          <w:b/>
        </w:rPr>
        <w:t xml:space="preserve">New Modifications </w:t>
      </w:r>
      <w:r>
        <w:t xml:space="preserve">– </w:t>
      </w:r>
      <w:r w:rsidR="009A1109">
        <w:t>Used when the modification in question does not extend the dates but modifies an existing period</w:t>
      </w:r>
      <w:r w:rsidR="00E435AB">
        <w:t xml:space="preserve">, or when the start date will remain the </w:t>
      </w:r>
      <w:proofErr w:type="gramStart"/>
      <w:r w:rsidR="00E435AB">
        <w:t>same</w:t>
      </w:r>
      <w:proofErr w:type="gramEnd"/>
      <w:r w:rsidR="00E435AB">
        <w:t xml:space="preserve"> but the end date is being extended.</w:t>
      </w:r>
    </w:p>
    <w:p w14:paraId="1C1E001E" w14:textId="54BE5584" w:rsidR="00C75EF2" w:rsidRDefault="00C75EF2" w:rsidP="007C15FC">
      <w:r w:rsidRPr="00C75EF2">
        <w:rPr>
          <w:u w:val="single"/>
        </w:rPr>
        <w:t>Example</w:t>
      </w:r>
      <w:r>
        <w:t>:</w:t>
      </w:r>
    </w:p>
    <w:p w14:paraId="19B481D1" w14:textId="3F07AE15" w:rsidR="00C75EF2" w:rsidRDefault="00CE711D" w:rsidP="007C15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A7CCE" wp14:editId="039E4BBA">
                <wp:simplePos x="0" y="0"/>
                <wp:positionH relativeFrom="column">
                  <wp:posOffset>1355024</wp:posOffset>
                </wp:positionH>
                <wp:positionV relativeFrom="paragraph">
                  <wp:posOffset>748779</wp:posOffset>
                </wp:positionV>
                <wp:extent cx="974436" cy="455963"/>
                <wp:effectExtent l="19050" t="19050" r="16510" b="2032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436" cy="45596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15FE9" id="Rectangle: Rounded Corners 5" o:spid="_x0000_s1026" style="position:absolute;margin-left:106.7pt;margin-top:58.95pt;width:76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" filled="f" strokecolor="#c00000" strokeweight="2.25pt">
                <v:stroke joinstyle="miter"/>
              </v:roundrect>
            </w:pict>
          </mc:Fallback>
        </mc:AlternateContent>
      </w:r>
      <w:r w:rsidR="00C75EF2">
        <w:rPr>
          <w:noProof/>
        </w:rPr>
        <w:drawing>
          <wp:inline distT="0" distB="0" distL="0" distR="0" wp14:anchorId="506F57C4" wp14:editId="4F848C63">
            <wp:extent cx="6858000" cy="1506402"/>
            <wp:effectExtent l="19050" t="19050" r="19050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064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49EC84" w14:textId="1FBBEB87" w:rsidR="00C75EF2" w:rsidRDefault="00C75EF2" w:rsidP="00CE711D">
      <w:pPr>
        <w:pStyle w:val="ListParagraph"/>
        <w:numPr>
          <w:ilvl w:val="0"/>
          <w:numId w:val="15"/>
        </w:numPr>
      </w:pPr>
      <w:r>
        <w:t xml:space="preserve">Award action 001 was the first year and so </w:t>
      </w:r>
      <w:r w:rsidRPr="00CE711D">
        <w:rPr>
          <w:b/>
        </w:rPr>
        <w:t>New Period</w:t>
      </w:r>
      <w:r>
        <w:t xml:space="preserve"> was the only option when adding the award.</w:t>
      </w:r>
    </w:p>
    <w:p w14:paraId="07476127" w14:textId="0C688E1E" w:rsidR="00E435AB" w:rsidRPr="00E435AB" w:rsidRDefault="00E435AB" w:rsidP="00E435AB">
      <w:pPr>
        <w:pStyle w:val="ListParagraph"/>
        <w:numPr>
          <w:ilvl w:val="1"/>
          <w:numId w:val="15"/>
        </w:numPr>
        <w:rPr>
          <w:i/>
          <w:iCs/>
          <w:sz w:val="20"/>
          <w:szCs w:val="20"/>
        </w:rPr>
      </w:pPr>
      <w:r w:rsidRPr="00E435AB">
        <w:rPr>
          <w:i/>
          <w:iCs/>
          <w:sz w:val="20"/>
          <w:szCs w:val="20"/>
        </w:rPr>
        <w:t>Reasoning – Award action 001 can only be added as a New Period.  New Modification is not available until the first award action has been added in eTRACS.</w:t>
      </w:r>
    </w:p>
    <w:p w14:paraId="2FCC5C09" w14:textId="7A9810E0" w:rsidR="00CE711D" w:rsidRDefault="00CE711D" w:rsidP="00CE711D">
      <w:pPr>
        <w:pStyle w:val="ListParagraph"/>
        <w:numPr>
          <w:ilvl w:val="1"/>
          <w:numId w:val="15"/>
        </w:numPr>
      </w:pPr>
      <w:r>
        <w:t>Year/Period = 1</w:t>
      </w:r>
    </w:p>
    <w:p w14:paraId="36CC4AA6" w14:textId="1F268323" w:rsidR="00CE711D" w:rsidRDefault="00CE711D" w:rsidP="00CE711D">
      <w:pPr>
        <w:pStyle w:val="ListParagraph"/>
        <w:numPr>
          <w:ilvl w:val="1"/>
          <w:numId w:val="15"/>
        </w:numPr>
      </w:pPr>
      <w:r>
        <w:t>Increment = 1</w:t>
      </w:r>
    </w:p>
    <w:p w14:paraId="15BC1AE2" w14:textId="0F1E3C60" w:rsidR="00C75EF2" w:rsidRDefault="00C75EF2" w:rsidP="00CE711D">
      <w:pPr>
        <w:pStyle w:val="ListParagraph"/>
        <w:numPr>
          <w:ilvl w:val="0"/>
          <w:numId w:val="15"/>
        </w:numPr>
      </w:pPr>
      <w:r>
        <w:t xml:space="preserve">Award action 002 was a subsequent year of funding so </w:t>
      </w:r>
      <w:r w:rsidRPr="00CE711D">
        <w:rPr>
          <w:b/>
        </w:rPr>
        <w:t>New Period</w:t>
      </w:r>
      <w:r>
        <w:t xml:space="preserve"> is chosen when adding this award.</w:t>
      </w:r>
    </w:p>
    <w:p w14:paraId="15FEDCE2" w14:textId="1AA2320F" w:rsidR="00E435AB" w:rsidRPr="00E435AB" w:rsidRDefault="00E435AB" w:rsidP="00E435AB">
      <w:pPr>
        <w:pStyle w:val="ListParagraph"/>
        <w:numPr>
          <w:ilvl w:val="1"/>
          <w:numId w:val="15"/>
        </w:numPr>
        <w:rPr>
          <w:i/>
          <w:iCs/>
          <w:sz w:val="20"/>
          <w:szCs w:val="20"/>
        </w:rPr>
      </w:pPr>
      <w:r w:rsidRPr="00E435AB">
        <w:rPr>
          <w:i/>
          <w:iCs/>
          <w:sz w:val="20"/>
          <w:szCs w:val="20"/>
        </w:rPr>
        <w:t>Reasoning – The start date of this award action is the day after the end date of the previous action</w:t>
      </w:r>
    </w:p>
    <w:p w14:paraId="6C317FAA" w14:textId="0833E768" w:rsidR="00CE711D" w:rsidRDefault="00CE711D" w:rsidP="00CE711D">
      <w:pPr>
        <w:pStyle w:val="ListParagraph"/>
        <w:numPr>
          <w:ilvl w:val="1"/>
          <w:numId w:val="15"/>
        </w:numPr>
      </w:pPr>
      <w:r>
        <w:t>Year/Period = 2</w:t>
      </w:r>
    </w:p>
    <w:p w14:paraId="4A413CB9" w14:textId="34AF517A" w:rsidR="00CE711D" w:rsidRDefault="00CE711D" w:rsidP="00CE711D">
      <w:pPr>
        <w:pStyle w:val="ListParagraph"/>
        <w:numPr>
          <w:ilvl w:val="1"/>
          <w:numId w:val="15"/>
        </w:numPr>
      </w:pPr>
      <w:r>
        <w:t>Increment = 2</w:t>
      </w:r>
    </w:p>
    <w:p w14:paraId="3EDD076B" w14:textId="622E41CD" w:rsidR="00CE711D" w:rsidRPr="00E435AB" w:rsidRDefault="00CE711D" w:rsidP="00CE711D">
      <w:pPr>
        <w:pStyle w:val="ListParagraph"/>
        <w:numPr>
          <w:ilvl w:val="0"/>
          <w:numId w:val="15"/>
        </w:numPr>
      </w:pPr>
      <w:r>
        <w:t xml:space="preserve">Award action 003 is a no cost extension to the final year of the award, so it was added as a </w:t>
      </w:r>
      <w:r w:rsidRPr="00CE711D">
        <w:rPr>
          <w:b/>
        </w:rPr>
        <w:t>New Modification</w:t>
      </w:r>
      <w:r>
        <w:t xml:space="preserve"> by choosing to “Link to Period” 2. </w:t>
      </w:r>
      <w:r w:rsidRPr="00CE711D">
        <w:rPr>
          <w:color w:val="FF0000"/>
          <w:sz w:val="20"/>
        </w:rPr>
        <w:t>(Note: The “Link to Period” feature is only available when you choose New Modification</w:t>
      </w:r>
      <w:r>
        <w:rPr>
          <w:color w:val="FF0000"/>
          <w:sz w:val="20"/>
        </w:rPr>
        <w:t>; see below</w:t>
      </w:r>
      <w:r w:rsidRPr="00CE711D">
        <w:rPr>
          <w:color w:val="FF0000"/>
          <w:sz w:val="20"/>
        </w:rPr>
        <w:t>)</w:t>
      </w:r>
    </w:p>
    <w:p w14:paraId="239F3CCD" w14:textId="2220C681" w:rsidR="00E435AB" w:rsidRPr="00E435AB" w:rsidRDefault="00E435AB" w:rsidP="00E435AB">
      <w:pPr>
        <w:pStyle w:val="ListParagraph"/>
        <w:numPr>
          <w:ilvl w:val="1"/>
          <w:numId w:val="15"/>
        </w:numPr>
        <w:rPr>
          <w:i/>
          <w:iCs/>
        </w:rPr>
      </w:pPr>
      <w:r w:rsidRPr="00E435AB">
        <w:rPr>
          <w:i/>
          <w:iCs/>
          <w:sz w:val="20"/>
        </w:rPr>
        <w:t>Reasoning – the start date remained the same from action 002, but the end date is being extended</w:t>
      </w:r>
    </w:p>
    <w:p w14:paraId="5147C10B" w14:textId="3A0DD095" w:rsidR="00CE711D" w:rsidRPr="00CE711D" w:rsidRDefault="00CE711D" w:rsidP="00CE711D">
      <w:pPr>
        <w:pStyle w:val="ListParagraph"/>
        <w:numPr>
          <w:ilvl w:val="1"/>
          <w:numId w:val="15"/>
        </w:numPr>
      </w:pPr>
      <w:r w:rsidRPr="00CE711D">
        <w:t>Year/Period = 2</w:t>
      </w:r>
    </w:p>
    <w:p w14:paraId="24BB41FA" w14:textId="56B6BED4" w:rsidR="00CE711D" w:rsidRDefault="00CE711D" w:rsidP="00CE711D">
      <w:pPr>
        <w:pStyle w:val="ListParagraph"/>
        <w:numPr>
          <w:ilvl w:val="1"/>
          <w:numId w:val="15"/>
        </w:numPr>
      </w:pPr>
      <w:r w:rsidRPr="00CE711D">
        <w:t>Increment = 3</w:t>
      </w:r>
    </w:p>
    <w:p w14:paraId="6C5996A8" w14:textId="6C0FC108" w:rsidR="00CE711D" w:rsidRPr="00A0115F" w:rsidRDefault="00CE711D" w:rsidP="00E435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B29E8" wp14:editId="71E8F61F">
                <wp:simplePos x="0" y="0"/>
                <wp:positionH relativeFrom="column">
                  <wp:posOffset>118753</wp:posOffset>
                </wp:positionH>
                <wp:positionV relativeFrom="paragraph">
                  <wp:posOffset>343246</wp:posOffset>
                </wp:positionV>
                <wp:extent cx="997528" cy="267195"/>
                <wp:effectExtent l="19050" t="19050" r="1270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8" cy="26719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3A0C1D" id="Rectangle: Rounded Corners 4" o:spid="_x0000_s1026" style="position:absolute;margin-left:9.35pt;margin-top:27.05pt;width:78.55pt;height:2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" filled="f" strokecolor="#c00000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5BE2AC5" wp14:editId="4D078FDA">
            <wp:extent cx="6858000" cy="1790065"/>
            <wp:effectExtent l="19050" t="19050" r="19050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90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11D" w:rsidRPr="00A0115F" w:rsidSect="00640A3C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F57A" w14:textId="77777777" w:rsidR="007C2573" w:rsidRDefault="007C2573" w:rsidP="007C2573">
      <w:pPr>
        <w:spacing w:after="0" w:line="240" w:lineRule="auto"/>
      </w:pPr>
      <w:r>
        <w:separator/>
      </w:r>
    </w:p>
  </w:endnote>
  <w:endnote w:type="continuationSeparator" w:id="0">
    <w:p w14:paraId="35DB1C54" w14:textId="77777777" w:rsidR="007C2573" w:rsidRDefault="007C2573" w:rsidP="007C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27EB" w14:textId="16E56CB8" w:rsidR="00356E84" w:rsidRPr="00356E84" w:rsidRDefault="007C15FC" w:rsidP="00356E84">
    <w:pPr>
      <w:pStyle w:val="Footer"/>
      <w:tabs>
        <w:tab w:val="clear" w:pos="4680"/>
        <w:tab w:val="clear" w:pos="9360"/>
      </w:tabs>
      <w:jc w:val="right"/>
      <w:rPr>
        <w:caps/>
        <w:noProof/>
        <w:color w:val="767171" w:themeColor="background2" w:themeShade="80"/>
      </w:rPr>
    </w:pPr>
    <w:r>
      <w:rPr>
        <w:caps/>
        <w:color w:val="767171" w:themeColor="background2" w:themeShade="80"/>
      </w:rPr>
      <w:t>New period vs new modification</w:t>
    </w:r>
    <w:r w:rsidR="0040697B">
      <w:rPr>
        <w:caps/>
        <w:color w:val="767171" w:themeColor="background2" w:themeShade="80"/>
      </w:rPr>
      <w:t xml:space="preserve"> </w:t>
    </w:r>
    <w:r w:rsidR="00356E84" w:rsidRPr="00356E84">
      <w:rPr>
        <w:caps/>
        <w:color w:val="767171" w:themeColor="background2" w:themeShade="80"/>
      </w:rPr>
      <w:fldChar w:fldCharType="begin"/>
    </w:r>
    <w:r w:rsidR="00356E84" w:rsidRPr="00356E84">
      <w:rPr>
        <w:caps/>
        <w:color w:val="767171" w:themeColor="background2" w:themeShade="80"/>
      </w:rPr>
      <w:instrText xml:space="preserve"> PAGE   \* MERGEFORMAT </w:instrText>
    </w:r>
    <w:r w:rsidR="00356E84" w:rsidRPr="00356E84">
      <w:rPr>
        <w:caps/>
        <w:color w:val="767171" w:themeColor="background2" w:themeShade="80"/>
      </w:rPr>
      <w:fldChar w:fldCharType="separate"/>
    </w:r>
    <w:r w:rsidR="00356E84" w:rsidRPr="00356E84">
      <w:rPr>
        <w:caps/>
        <w:noProof/>
        <w:color w:val="767171" w:themeColor="background2" w:themeShade="80"/>
      </w:rPr>
      <w:t>2</w:t>
    </w:r>
    <w:r w:rsidR="00356E84" w:rsidRPr="00356E84">
      <w:rPr>
        <w:caps/>
        <w:noProof/>
        <w:color w:val="767171" w:themeColor="background2" w:themeShade="80"/>
      </w:rPr>
      <w:fldChar w:fldCharType="end"/>
    </w:r>
  </w:p>
  <w:p w14:paraId="49762A74" w14:textId="77777777" w:rsidR="007C2573" w:rsidRDefault="007C2573" w:rsidP="007C25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123DA" w14:textId="77777777" w:rsidR="007C2573" w:rsidRDefault="007C2573" w:rsidP="007C2573">
      <w:pPr>
        <w:spacing w:after="0" w:line="240" w:lineRule="auto"/>
      </w:pPr>
      <w:r>
        <w:separator/>
      </w:r>
    </w:p>
  </w:footnote>
  <w:footnote w:type="continuationSeparator" w:id="0">
    <w:p w14:paraId="4C84891A" w14:textId="77777777" w:rsidR="007C2573" w:rsidRDefault="007C2573" w:rsidP="007C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C39"/>
    <w:multiLevelType w:val="hybridMultilevel"/>
    <w:tmpl w:val="455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8FE"/>
    <w:multiLevelType w:val="hybridMultilevel"/>
    <w:tmpl w:val="455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F5F"/>
    <w:multiLevelType w:val="hybridMultilevel"/>
    <w:tmpl w:val="6B9C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03D58"/>
    <w:multiLevelType w:val="hybridMultilevel"/>
    <w:tmpl w:val="10DC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7CF3"/>
    <w:multiLevelType w:val="hybridMultilevel"/>
    <w:tmpl w:val="B5949942"/>
    <w:lvl w:ilvl="0" w:tplc="A8C29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65D50"/>
    <w:multiLevelType w:val="hybridMultilevel"/>
    <w:tmpl w:val="2A0C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C0D45"/>
    <w:multiLevelType w:val="hybridMultilevel"/>
    <w:tmpl w:val="89C4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B5F64"/>
    <w:multiLevelType w:val="hybridMultilevel"/>
    <w:tmpl w:val="337E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E347E"/>
    <w:multiLevelType w:val="hybridMultilevel"/>
    <w:tmpl w:val="1BD29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267E9C"/>
    <w:multiLevelType w:val="hybridMultilevel"/>
    <w:tmpl w:val="9120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C7015"/>
    <w:multiLevelType w:val="hybridMultilevel"/>
    <w:tmpl w:val="01F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77D55"/>
    <w:multiLevelType w:val="hybridMultilevel"/>
    <w:tmpl w:val="A6B86550"/>
    <w:lvl w:ilvl="0" w:tplc="2EAA80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5078C"/>
    <w:multiLevelType w:val="hybridMultilevel"/>
    <w:tmpl w:val="F27E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52AA4"/>
    <w:multiLevelType w:val="hybridMultilevel"/>
    <w:tmpl w:val="9D4AC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F494B"/>
    <w:multiLevelType w:val="hybridMultilevel"/>
    <w:tmpl w:val="E080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D4F3D"/>
    <w:multiLevelType w:val="hybridMultilevel"/>
    <w:tmpl w:val="F926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2"/>
  </w:num>
  <w:num w:numId="13">
    <w:abstractNumId w:val="13"/>
  </w:num>
  <w:num w:numId="14">
    <w:abstractNumId w:val="1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55"/>
    <w:rsid w:val="000110FA"/>
    <w:rsid w:val="00023F04"/>
    <w:rsid w:val="001502F1"/>
    <w:rsid w:val="00181C9B"/>
    <w:rsid w:val="00226C27"/>
    <w:rsid w:val="002720D3"/>
    <w:rsid w:val="002C6C22"/>
    <w:rsid w:val="002E388A"/>
    <w:rsid w:val="002F64B8"/>
    <w:rsid w:val="00315FC9"/>
    <w:rsid w:val="00323F84"/>
    <w:rsid w:val="00356E84"/>
    <w:rsid w:val="0038686C"/>
    <w:rsid w:val="003F5C65"/>
    <w:rsid w:val="0040697B"/>
    <w:rsid w:val="004332DD"/>
    <w:rsid w:val="004A6455"/>
    <w:rsid w:val="004B3D7E"/>
    <w:rsid w:val="004C3CAD"/>
    <w:rsid w:val="004F2903"/>
    <w:rsid w:val="004F362F"/>
    <w:rsid w:val="00546ACC"/>
    <w:rsid w:val="005521CF"/>
    <w:rsid w:val="00563854"/>
    <w:rsid w:val="005911E7"/>
    <w:rsid w:val="005B0A28"/>
    <w:rsid w:val="00640A3C"/>
    <w:rsid w:val="00645ED2"/>
    <w:rsid w:val="006534A7"/>
    <w:rsid w:val="006B64BB"/>
    <w:rsid w:val="006C7AA6"/>
    <w:rsid w:val="006D4B82"/>
    <w:rsid w:val="007957B6"/>
    <w:rsid w:val="007979C4"/>
    <w:rsid w:val="007C15FC"/>
    <w:rsid w:val="007C2573"/>
    <w:rsid w:val="007D0DF2"/>
    <w:rsid w:val="007F714D"/>
    <w:rsid w:val="008039A3"/>
    <w:rsid w:val="008206BB"/>
    <w:rsid w:val="00896224"/>
    <w:rsid w:val="008D0C46"/>
    <w:rsid w:val="009742EC"/>
    <w:rsid w:val="009A1109"/>
    <w:rsid w:val="009A6876"/>
    <w:rsid w:val="009B30EF"/>
    <w:rsid w:val="009B5F55"/>
    <w:rsid w:val="009E7AC6"/>
    <w:rsid w:val="00A0115F"/>
    <w:rsid w:val="00A63E41"/>
    <w:rsid w:val="00A74F0F"/>
    <w:rsid w:val="00A809C0"/>
    <w:rsid w:val="00AB60AC"/>
    <w:rsid w:val="00B710F8"/>
    <w:rsid w:val="00BA2918"/>
    <w:rsid w:val="00BA5274"/>
    <w:rsid w:val="00BB1D33"/>
    <w:rsid w:val="00BD2A8A"/>
    <w:rsid w:val="00C16A72"/>
    <w:rsid w:val="00C4706A"/>
    <w:rsid w:val="00C75EF2"/>
    <w:rsid w:val="00CC29AC"/>
    <w:rsid w:val="00CE4EA8"/>
    <w:rsid w:val="00CE711D"/>
    <w:rsid w:val="00D24A19"/>
    <w:rsid w:val="00D36B8F"/>
    <w:rsid w:val="00D66352"/>
    <w:rsid w:val="00D8246B"/>
    <w:rsid w:val="00DA2441"/>
    <w:rsid w:val="00DE46CB"/>
    <w:rsid w:val="00E2376F"/>
    <w:rsid w:val="00E435AB"/>
    <w:rsid w:val="00E751C3"/>
    <w:rsid w:val="00E9110D"/>
    <w:rsid w:val="00E92FBD"/>
    <w:rsid w:val="00EC3D58"/>
    <w:rsid w:val="00EE14FD"/>
    <w:rsid w:val="00F075B3"/>
    <w:rsid w:val="00F318AD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AEDCE55"/>
  <w15:chartTrackingRefBased/>
  <w15:docId w15:val="{965B0824-FDEA-4A67-A559-74693B9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73"/>
  </w:style>
  <w:style w:type="paragraph" w:styleId="Footer">
    <w:name w:val="footer"/>
    <w:basedOn w:val="Normal"/>
    <w:link w:val="FooterChar"/>
    <w:uiPriority w:val="99"/>
    <w:unhideWhenUsed/>
    <w:rsid w:val="007C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73"/>
  </w:style>
  <w:style w:type="paragraph" w:styleId="BalloonText">
    <w:name w:val="Balloon Text"/>
    <w:basedOn w:val="Normal"/>
    <w:link w:val="BalloonTextChar"/>
    <w:uiPriority w:val="99"/>
    <w:semiHidden/>
    <w:unhideWhenUsed/>
    <w:rsid w:val="007D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Gohn, Cara Janae</dc:creator>
  <cp:keywords/>
  <dc:description/>
  <cp:lastModifiedBy>Gohn, Cara</cp:lastModifiedBy>
  <cp:revision>3</cp:revision>
  <dcterms:created xsi:type="dcterms:W3CDTF">2019-12-18T14:07:00Z</dcterms:created>
  <dcterms:modified xsi:type="dcterms:W3CDTF">2020-03-10T12:39:00Z</dcterms:modified>
</cp:coreProperties>
</file>